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30"/>
        <w:gridCol w:w="2856"/>
        <w:gridCol w:w="342"/>
        <w:gridCol w:w="1352"/>
        <w:gridCol w:w="1867"/>
        <w:gridCol w:w="266"/>
        <w:gridCol w:w="1777"/>
      </w:tblGrid>
      <w:tr w:rsidR="00B03017" w:rsidRPr="00F039F2" w14:paraId="496EC790" w14:textId="77777777" w:rsidTr="00194EDA">
        <w:tc>
          <w:tcPr>
            <w:tcW w:w="10790" w:type="dxa"/>
            <w:gridSpan w:val="7"/>
            <w:shd w:val="clear" w:color="auto" w:fill="BDD6EE" w:themeFill="accent1" w:themeFillTint="66"/>
          </w:tcPr>
          <w:p w14:paraId="7B9CCCEE" w14:textId="6E9128E6" w:rsidR="00B03017" w:rsidRPr="00F039F2" w:rsidRDefault="00B03017" w:rsidP="00AB1539">
            <w:pPr>
              <w:jc w:val="center"/>
              <w:rPr>
                <w:sz w:val="20"/>
              </w:rPr>
            </w:pPr>
            <w:r w:rsidRPr="00F039F2">
              <w:rPr>
                <w:sz w:val="36"/>
              </w:rPr>
              <w:t>Intussusception</w:t>
            </w:r>
          </w:p>
        </w:tc>
      </w:tr>
      <w:tr w:rsidR="00F039F2" w:rsidRPr="00F039F2" w14:paraId="1C84193F" w14:textId="77777777" w:rsidTr="00F039F2">
        <w:tc>
          <w:tcPr>
            <w:tcW w:w="2330" w:type="dxa"/>
          </w:tcPr>
          <w:p w14:paraId="39EAB7F4" w14:textId="659C1F99" w:rsidR="00B03017" w:rsidRPr="00F039F2" w:rsidRDefault="00B03017" w:rsidP="00AB1539">
            <w:pPr>
              <w:rPr>
                <w:rFonts w:cstheme="minorHAnsi"/>
                <w:color w:val="17365D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What is it?</w:t>
            </w:r>
          </w:p>
        </w:tc>
        <w:tc>
          <w:tcPr>
            <w:tcW w:w="8460" w:type="dxa"/>
            <w:gridSpan w:val="6"/>
          </w:tcPr>
          <w:p w14:paraId="7C9FE0E8" w14:textId="77777777" w:rsidR="00B03017" w:rsidRPr="00F039F2" w:rsidRDefault="00B03017" w:rsidP="00AB1539">
            <w:pPr>
              <w:pStyle w:val="NormalWeb"/>
              <w:shd w:val="clear" w:color="auto" w:fill="FFFFFF"/>
              <w:spacing w:after="150"/>
              <w:rPr>
                <w:rFonts w:asciiTheme="minorHAnsi" w:hAnsiTheme="minorHAnsi" w:cstheme="minorHAnsi"/>
                <w:color w:val="333333"/>
                <w:sz w:val="21"/>
              </w:rPr>
            </w:pPr>
            <w:r w:rsidRPr="00F039F2">
              <w:rPr>
                <w:rFonts w:asciiTheme="minorHAnsi" w:hAnsiTheme="minorHAnsi" w:cstheme="minorHAnsi"/>
                <w:color w:val="333333"/>
                <w:sz w:val="21"/>
              </w:rPr>
              <w:t>Intussusception occurs when a portion of the intestine folds like a telescope, with one segment slipping inside another segment. It can occur anywhere in the intestines. This causes an obstruction, preventing the passage of food that is being digested through the intestine.</w:t>
            </w:r>
          </w:p>
        </w:tc>
      </w:tr>
      <w:tr w:rsidR="00F039F2" w:rsidRPr="00F039F2" w14:paraId="41091B19" w14:textId="77777777" w:rsidTr="00F039F2">
        <w:tc>
          <w:tcPr>
            <w:tcW w:w="2330" w:type="dxa"/>
          </w:tcPr>
          <w:p w14:paraId="12C94E32" w14:textId="03FECFDC" w:rsidR="00B03017" w:rsidRPr="00F039F2" w:rsidRDefault="00B03017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Etiology</w:t>
            </w:r>
          </w:p>
        </w:tc>
        <w:tc>
          <w:tcPr>
            <w:tcW w:w="8460" w:type="dxa"/>
            <w:gridSpan w:val="6"/>
          </w:tcPr>
          <w:p w14:paraId="4FC99281" w14:textId="77777777" w:rsidR="00B03017" w:rsidRPr="00F039F2" w:rsidRDefault="00B03017" w:rsidP="00AB153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1"/>
              </w:rPr>
            </w:pPr>
            <w:r w:rsidRPr="00F039F2">
              <w:rPr>
                <w:rFonts w:asciiTheme="minorHAnsi" w:hAnsiTheme="minorHAnsi" w:cstheme="minorHAnsi"/>
                <w:color w:val="333333"/>
                <w:sz w:val="21"/>
              </w:rPr>
              <w:t>The cause of intussusception is not known.  Though rare, an increased incidence of developing intussusception may be seen in children:</w:t>
            </w:r>
          </w:p>
          <w:p w14:paraId="03063D80" w14:textId="408D0136" w:rsidR="00B03017" w:rsidRPr="00F039F2" w:rsidRDefault="00B03017" w:rsidP="00B03017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1"/>
              </w:rPr>
            </w:pPr>
            <w:r w:rsidRPr="00F039F2">
              <w:rPr>
                <w:rFonts w:asciiTheme="minorHAnsi" w:hAnsiTheme="minorHAnsi" w:cstheme="minorHAnsi"/>
                <w:color w:val="333333"/>
                <w:sz w:val="21"/>
              </w:rPr>
              <w:t>Who have abdominal or intestinal tumors or masses</w:t>
            </w:r>
          </w:p>
          <w:p w14:paraId="21721ACA" w14:textId="42917C89" w:rsidR="00B03017" w:rsidRPr="00F039F2" w:rsidRDefault="00B03017" w:rsidP="00B03017">
            <w:pPr>
              <w:pStyle w:val="NormalWeb"/>
              <w:numPr>
                <w:ilvl w:val="0"/>
                <w:numId w:val="2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1"/>
              </w:rPr>
            </w:pPr>
            <w:r w:rsidRPr="00F039F2">
              <w:rPr>
                <w:rFonts w:asciiTheme="minorHAnsi" w:hAnsiTheme="minorHAnsi" w:cstheme="minorHAnsi"/>
                <w:color w:val="333333"/>
                <w:sz w:val="21"/>
              </w:rPr>
              <w:t>Who have appendicitis</w:t>
            </w:r>
          </w:p>
          <w:p w14:paraId="317A6F35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</w:p>
        </w:tc>
      </w:tr>
      <w:tr w:rsidR="00F039F2" w:rsidRPr="00F039F2" w14:paraId="013BFCF8" w14:textId="77777777" w:rsidTr="00F039F2">
        <w:tc>
          <w:tcPr>
            <w:tcW w:w="2330" w:type="dxa"/>
          </w:tcPr>
          <w:p w14:paraId="15615591" w14:textId="758B742D" w:rsidR="00B03017" w:rsidRPr="00F039F2" w:rsidRDefault="00B03017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Occurrence/Epidemiology</w:t>
            </w:r>
          </w:p>
        </w:tc>
        <w:tc>
          <w:tcPr>
            <w:tcW w:w="8460" w:type="dxa"/>
            <w:gridSpan w:val="6"/>
          </w:tcPr>
          <w:p w14:paraId="521C5A17" w14:textId="77777777" w:rsidR="00B03017" w:rsidRPr="00F039F2" w:rsidRDefault="00B03017" w:rsidP="00AB1539">
            <w:pPr>
              <w:pStyle w:val="NormalWeb"/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1"/>
              </w:rPr>
            </w:pPr>
            <w:r w:rsidRPr="00F039F2">
              <w:rPr>
                <w:rFonts w:asciiTheme="minorHAnsi" w:hAnsiTheme="minorHAnsi" w:cstheme="minorHAnsi"/>
                <w:color w:val="333333"/>
                <w:sz w:val="21"/>
              </w:rPr>
              <w:t>Children less than 3 years old, can also occur in older children, teenagers, and adults.</w:t>
            </w:r>
          </w:p>
          <w:p w14:paraId="24B909F6" w14:textId="77777777" w:rsidR="00B03017" w:rsidRPr="00F039F2" w:rsidRDefault="00B03017" w:rsidP="00B03017">
            <w:pPr>
              <w:pStyle w:val="NormalWeb"/>
              <w:numPr>
                <w:ilvl w:val="0"/>
                <w:numId w:val="1"/>
              </w:numPr>
              <w:shd w:val="clear" w:color="auto" w:fill="FFFFFF"/>
              <w:spacing w:before="0" w:beforeAutospacing="0" w:after="0" w:afterAutospacing="0"/>
              <w:rPr>
                <w:rFonts w:asciiTheme="minorHAnsi" w:hAnsiTheme="minorHAnsi" w:cstheme="minorHAnsi"/>
                <w:color w:val="333333"/>
                <w:sz w:val="21"/>
              </w:rPr>
            </w:pPr>
            <w:r w:rsidRPr="00F039F2">
              <w:rPr>
                <w:rFonts w:asciiTheme="minorHAnsi" w:hAnsiTheme="minorHAnsi" w:cstheme="minorHAnsi"/>
                <w:color w:val="333333"/>
                <w:sz w:val="21"/>
              </w:rPr>
              <w:t>Intussusception occurs more often in boys than girls.</w:t>
            </w:r>
          </w:p>
          <w:p w14:paraId="69BFE188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</w:p>
        </w:tc>
      </w:tr>
      <w:tr w:rsidR="00F039F2" w:rsidRPr="00F039F2" w14:paraId="771FFF6D" w14:textId="77777777" w:rsidTr="00F039F2">
        <w:tc>
          <w:tcPr>
            <w:tcW w:w="2330" w:type="dxa"/>
          </w:tcPr>
          <w:p w14:paraId="75647268" w14:textId="4D1B6A63" w:rsidR="00B03017" w:rsidRPr="00F039F2" w:rsidRDefault="00B03017" w:rsidP="00AB1539">
            <w:pPr>
              <w:rPr>
                <w:rFonts w:cstheme="minorHAnsi"/>
                <w:color w:val="17365D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Clinical Presentation </w:t>
            </w:r>
          </w:p>
          <w:p w14:paraId="29860874" w14:textId="6FB56284" w:rsidR="00B03017" w:rsidRPr="00F039F2" w:rsidRDefault="00B03017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i/>
                <w:iCs/>
                <w:color w:val="17365D"/>
                <w:sz w:val="20"/>
              </w:rPr>
              <w:t>(subjective and physical examination)</w:t>
            </w:r>
          </w:p>
        </w:tc>
        <w:tc>
          <w:tcPr>
            <w:tcW w:w="4550" w:type="dxa"/>
            <w:gridSpan w:val="3"/>
          </w:tcPr>
          <w:p w14:paraId="15FF1526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>Subjective: Pain, Sudden loud crying, Straining, Draw knees up, Irritable.</w:t>
            </w:r>
          </w:p>
          <w:p w14:paraId="75DAFF76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</w:p>
        </w:tc>
        <w:tc>
          <w:tcPr>
            <w:tcW w:w="3910" w:type="dxa"/>
            <w:gridSpan w:val="3"/>
          </w:tcPr>
          <w:p w14:paraId="6D873598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 xml:space="preserve">Objective: red mucus or jelly like stool, fever, lethargic, vomiting bile, diarrhea, sweating, dehydration, abdominal distention or lump. </w:t>
            </w:r>
          </w:p>
        </w:tc>
      </w:tr>
      <w:tr w:rsidR="00F039F2" w:rsidRPr="00F039F2" w14:paraId="6234A288" w14:textId="77777777" w:rsidTr="00F039F2">
        <w:tc>
          <w:tcPr>
            <w:tcW w:w="2330" w:type="dxa"/>
          </w:tcPr>
          <w:p w14:paraId="2196F881" w14:textId="6103AF00" w:rsidR="00870FC1" w:rsidRPr="00F039F2" w:rsidRDefault="00870FC1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Diagnostic Testing</w:t>
            </w:r>
          </w:p>
        </w:tc>
        <w:tc>
          <w:tcPr>
            <w:tcW w:w="3198" w:type="dxa"/>
            <w:gridSpan w:val="2"/>
          </w:tcPr>
          <w:p w14:paraId="37C822BD" w14:textId="77777777" w:rsidR="00870FC1" w:rsidRPr="00F039F2" w:rsidRDefault="00870FC1" w:rsidP="00CD5FC2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 xml:space="preserve">X-Ray: </w:t>
            </w:r>
            <w:r w:rsidR="00CD5FC2" w:rsidRPr="00F039F2">
              <w:rPr>
                <w:rFonts w:cstheme="minorHAnsi"/>
                <w:sz w:val="21"/>
              </w:rPr>
              <w:t xml:space="preserve">may demonstrate an elongated soft tissue </w:t>
            </w:r>
            <w:r w:rsidR="00194EDA" w:rsidRPr="00F039F2">
              <w:rPr>
                <w:rFonts w:cstheme="minorHAnsi"/>
                <w:sz w:val="21"/>
              </w:rPr>
              <w:t>mass with</w:t>
            </w:r>
            <w:r w:rsidR="00CD5FC2" w:rsidRPr="00F039F2">
              <w:rPr>
                <w:rFonts w:cstheme="minorHAnsi"/>
                <w:sz w:val="21"/>
              </w:rPr>
              <w:t xml:space="preserve"> a bowel obstruction proximal to it. </w:t>
            </w:r>
          </w:p>
        </w:tc>
        <w:tc>
          <w:tcPr>
            <w:tcW w:w="3219" w:type="dxa"/>
            <w:gridSpan w:val="2"/>
          </w:tcPr>
          <w:p w14:paraId="13E97724" w14:textId="77777777" w:rsidR="00870FC1" w:rsidRPr="00F039F2" w:rsidRDefault="00870FC1" w:rsidP="00870FC1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>Ultrasound: ‘Target Sign’</w:t>
            </w:r>
          </w:p>
          <w:p w14:paraId="7E8C68AE" w14:textId="77777777" w:rsidR="00870FC1" w:rsidRPr="00F039F2" w:rsidRDefault="00870FC1" w:rsidP="00870FC1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>also known as the doughnut sign or bull's eye sign</w:t>
            </w:r>
            <w:r w:rsidR="007400F6" w:rsidRPr="00F039F2">
              <w:rPr>
                <w:rFonts w:cstheme="minorHAnsi"/>
                <w:sz w:val="21"/>
              </w:rPr>
              <w:t>. appearance is generated by concentric alternating echogenic and hypoechogenic bands.</w:t>
            </w:r>
          </w:p>
        </w:tc>
        <w:tc>
          <w:tcPr>
            <w:tcW w:w="2043" w:type="dxa"/>
            <w:gridSpan w:val="2"/>
          </w:tcPr>
          <w:p w14:paraId="6B98DBC9" w14:textId="77777777" w:rsidR="00870FC1" w:rsidRPr="00F039F2" w:rsidRDefault="00870FC1" w:rsidP="00CD5FC2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>Upper &amp; Lower GI Series (Barium Swallow &amp; Enema)</w:t>
            </w:r>
            <w:r w:rsidR="00CD5FC2" w:rsidRPr="00F039F2">
              <w:rPr>
                <w:rFonts w:cstheme="minorHAnsi"/>
                <w:sz w:val="21"/>
              </w:rPr>
              <w:t>: giving the "coiled spring” appearance</w:t>
            </w:r>
          </w:p>
        </w:tc>
      </w:tr>
      <w:tr w:rsidR="00F039F2" w:rsidRPr="00F039F2" w14:paraId="6F5913CD" w14:textId="77777777" w:rsidTr="00F039F2">
        <w:tc>
          <w:tcPr>
            <w:tcW w:w="2330" w:type="dxa"/>
          </w:tcPr>
          <w:p w14:paraId="184C26A2" w14:textId="6FB30F9A" w:rsidR="00B03017" w:rsidRPr="00F039F2" w:rsidRDefault="00B03017" w:rsidP="00AB1539">
            <w:pPr>
              <w:rPr>
                <w:rFonts w:cstheme="minorHAnsi"/>
                <w:color w:val="17365D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3 Differential Diagnosis </w:t>
            </w:r>
          </w:p>
          <w:p w14:paraId="3C72C58E" w14:textId="1C646F5B" w:rsidR="00B03017" w:rsidRPr="00F039F2" w:rsidRDefault="00B03017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i/>
                <w:iCs/>
                <w:color w:val="17365D"/>
                <w:sz w:val="20"/>
              </w:rPr>
              <w:t>(include difference between each differential diagnosis &amp; the main diagnosis)</w:t>
            </w:r>
          </w:p>
        </w:tc>
        <w:tc>
          <w:tcPr>
            <w:tcW w:w="2856" w:type="dxa"/>
          </w:tcPr>
          <w:p w14:paraId="1A11B4FA" w14:textId="77777777" w:rsidR="00B03017" w:rsidRPr="00F039F2" w:rsidRDefault="00B03017" w:rsidP="00AB1539">
            <w:pPr>
              <w:rPr>
                <w:rFonts w:cstheme="minorHAnsi"/>
                <w:sz w:val="21"/>
                <w:u w:val="single"/>
              </w:rPr>
            </w:pPr>
            <w:r w:rsidRPr="00F039F2">
              <w:rPr>
                <w:rFonts w:cstheme="minorHAnsi"/>
                <w:sz w:val="21"/>
                <w:u w:val="single"/>
              </w:rPr>
              <w:t>Intussusception:</w:t>
            </w:r>
          </w:p>
          <w:p w14:paraId="34588CE0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>Pain, sudden crying, red mucus or jelly like stool, fever, lethargic, vomiting bile, diarrhea, sweating, dehydration, abdominal distention or lump.</w:t>
            </w:r>
          </w:p>
        </w:tc>
        <w:tc>
          <w:tcPr>
            <w:tcW w:w="1694" w:type="dxa"/>
            <w:gridSpan w:val="2"/>
          </w:tcPr>
          <w:p w14:paraId="44212DBD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  <w:u w:val="single"/>
              </w:rPr>
              <w:t>Gastroenteritis:</w:t>
            </w:r>
            <w:r w:rsidRPr="00F039F2">
              <w:rPr>
                <w:rFonts w:cstheme="minorHAnsi"/>
                <w:sz w:val="21"/>
              </w:rPr>
              <w:t xml:space="preserve"> vomiting that are typically nonbilious, often with anorexia, fever, lethargy, and diarrhea.</w:t>
            </w:r>
          </w:p>
          <w:p w14:paraId="47E4869F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>NO JELLY LIKE STOOL</w:t>
            </w:r>
          </w:p>
        </w:tc>
        <w:tc>
          <w:tcPr>
            <w:tcW w:w="2133" w:type="dxa"/>
            <w:gridSpan w:val="2"/>
          </w:tcPr>
          <w:p w14:paraId="250D6F3C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  <w:u w:val="single"/>
              </w:rPr>
              <w:t>Gastric Volvulus:</w:t>
            </w:r>
            <w:r w:rsidRPr="00F039F2">
              <w:rPr>
                <w:rFonts w:cstheme="minorHAnsi"/>
                <w:sz w:val="21"/>
              </w:rPr>
              <w:t xml:space="preserve"> Epigastric pain tenderness and distention, vomiting, bloody diarrhea</w:t>
            </w:r>
          </w:p>
          <w:p w14:paraId="0F7112BD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</w:p>
          <w:p w14:paraId="7FE88A23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 xml:space="preserve">NO JELLY LIKE STOOL, </w:t>
            </w:r>
          </w:p>
        </w:tc>
        <w:tc>
          <w:tcPr>
            <w:tcW w:w="1777" w:type="dxa"/>
          </w:tcPr>
          <w:p w14:paraId="17086ABC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  <w:u w:val="single"/>
              </w:rPr>
              <w:t>Appendicitis:</w:t>
            </w:r>
            <w:r w:rsidRPr="00F039F2">
              <w:rPr>
                <w:rFonts w:cstheme="minorHAnsi"/>
                <w:sz w:val="21"/>
              </w:rPr>
              <w:t xml:space="preserve"> abdominal pain that has migrated from a periumbilical position to the right lower quadrant.</w:t>
            </w:r>
          </w:p>
          <w:p w14:paraId="38F37840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 xml:space="preserve">NO JELLY LIKE STOOL, NOR MASS </w:t>
            </w:r>
          </w:p>
        </w:tc>
      </w:tr>
      <w:tr w:rsidR="00F039F2" w:rsidRPr="00F039F2" w14:paraId="7B9D0DEA" w14:textId="77777777" w:rsidTr="00F039F2">
        <w:tc>
          <w:tcPr>
            <w:tcW w:w="2330" w:type="dxa"/>
          </w:tcPr>
          <w:p w14:paraId="47599689" w14:textId="77777777" w:rsidR="00B03017" w:rsidRPr="00F039F2" w:rsidRDefault="00B03017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Non-Pharmacologic Management</w:t>
            </w:r>
          </w:p>
        </w:tc>
        <w:tc>
          <w:tcPr>
            <w:tcW w:w="8460" w:type="dxa"/>
            <w:gridSpan w:val="6"/>
          </w:tcPr>
          <w:p w14:paraId="52F0D15F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 xml:space="preserve">There are currently no non pharmacological treatments. </w:t>
            </w:r>
          </w:p>
        </w:tc>
      </w:tr>
      <w:tr w:rsidR="00F039F2" w:rsidRPr="00F039F2" w14:paraId="17B2292F" w14:textId="77777777" w:rsidTr="00F039F2">
        <w:tc>
          <w:tcPr>
            <w:tcW w:w="2330" w:type="dxa"/>
          </w:tcPr>
          <w:p w14:paraId="532BB322" w14:textId="77777777" w:rsidR="00B03017" w:rsidRPr="00F039F2" w:rsidRDefault="00B03017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Pharmacologic Management</w:t>
            </w:r>
          </w:p>
        </w:tc>
        <w:tc>
          <w:tcPr>
            <w:tcW w:w="8460" w:type="dxa"/>
            <w:gridSpan w:val="6"/>
          </w:tcPr>
          <w:p w14:paraId="4E83F332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 xml:space="preserve">May fix itself while being diagnosed with barium enema.  Air enema (aids in moving intestines back). </w:t>
            </w:r>
          </w:p>
          <w:p w14:paraId="3715A8D2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>Antibiotics if infection present</w:t>
            </w:r>
          </w:p>
          <w:p w14:paraId="54FA4A18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 xml:space="preserve">Surgery: push the telescoped intestine back out. Rare cases a resection of intestines may happen, and stoma created. </w:t>
            </w:r>
          </w:p>
          <w:p w14:paraId="20F95157" w14:textId="77777777" w:rsidR="00B03017" w:rsidRPr="00F039F2" w:rsidRDefault="00B03017" w:rsidP="00AB1539">
            <w:pPr>
              <w:rPr>
                <w:rFonts w:cstheme="minorHAnsi"/>
                <w:sz w:val="21"/>
              </w:rPr>
            </w:pPr>
          </w:p>
        </w:tc>
      </w:tr>
      <w:tr w:rsidR="00F039F2" w:rsidRPr="00F039F2" w14:paraId="0143B395" w14:textId="77777777" w:rsidTr="00F039F2">
        <w:tc>
          <w:tcPr>
            <w:tcW w:w="2330" w:type="dxa"/>
          </w:tcPr>
          <w:p w14:paraId="28E2BADB" w14:textId="77777777" w:rsidR="00B03017" w:rsidRPr="00F039F2" w:rsidRDefault="00B03017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Follow Up</w:t>
            </w:r>
          </w:p>
        </w:tc>
        <w:tc>
          <w:tcPr>
            <w:tcW w:w="8460" w:type="dxa"/>
            <w:gridSpan w:val="6"/>
          </w:tcPr>
          <w:p w14:paraId="1D2721AD" w14:textId="42A5831E" w:rsidR="00B03017" w:rsidRPr="00F039F2" w:rsidRDefault="00B03017" w:rsidP="00AB1539">
            <w:pPr>
              <w:rPr>
                <w:rFonts w:cstheme="minorHAnsi"/>
                <w:sz w:val="21"/>
              </w:rPr>
            </w:pPr>
            <w:r w:rsidRPr="00F039F2">
              <w:rPr>
                <w:rFonts w:cstheme="minorHAnsi"/>
                <w:sz w:val="21"/>
              </w:rPr>
              <w:t>With toleration of diet, patients treated with nonoperative reduction are usually discharged 12-18 hours after the therapeutic enema. After operative reduction, postoperative progress dictates the length of stay.</w:t>
            </w:r>
          </w:p>
        </w:tc>
      </w:tr>
      <w:tr w:rsidR="00194EDA" w:rsidRPr="00F039F2" w14:paraId="2EAF3392" w14:textId="77777777" w:rsidTr="00194EDA">
        <w:tc>
          <w:tcPr>
            <w:tcW w:w="10790" w:type="dxa"/>
            <w:gridSpan w:val="7"/>
            <w:shd w:val="clear" w:color="auto" w:fill="BDD6EE" w:themeFill="accent1" w:themeFillTint="66"/>
          </w:tcPr>
          <w:p w14:paraId="1D4D046B" w14:textId="0BA1BA19" w:rsidR="00194EDA" w:rsidRPr="00F039F2" w:rsidRDefault="00194EDA" w:rsidP="00194EDA">
            <w:pPr>
              <w:jc w:val="center"/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color w:val="17365D"/>
                <w:sz w:val="20"/>
              </w:rPr>
              <w:t>References</w:t>
            </w:r>
          </w:p>
        </w:tc>
      </w:tr>
      <w:tr w:rsidR="00194EDA" w:rsidRPr="00F039F2" w14:paraId="5D2AAA2A" w14:textId="77777777" w:rsidTr="00B20724">
        <w:tc>
          <w:tcPr>
            <w:tcW w:w="10790" w:type="dxa"/>
            <w:gridSpan w:val="7"/>
          </w:tcPr>
          <w:p w14:paraId="125A3DF3" w14:textId="3AC613F2" w:rsidR="00194EDA" w:rsidRPr="00F039F2" w:rsidRDefault="00194EDA" w:rsidP="00AB1539">
            <w:pPr>
              <w:rPr>
                <w:rFonts w:cstheme="minorHAnsi"/>
                <w:sz w:val="20"/>
              </w:rPr>
            </w:pPr>
            <w:r w:rsidRPr="00F039F2">
              <w:rPr>
                <w:rFonts w:cstheme="minorHAnsi"/>
                <w:sz w:val="20"/>
              </w:rPr>
              <w:t xml:space="preserve">Blanco, F. C., Chahine, A. A., King, L., &amp; Wilkes, G. (2017, July 3). Intussusception: Practice Essentials, Background, Etiology and Pathophysiology. Retrieved from </w:t>
            </w:r>
            <w:hyperlink r:id="rId5" w:anchor="a1" w:history="1">
              <w:r w:rsidRPr="00F039F2">
                <w:rPr>
                  <w:rStyle w:val="Hyperlink"/>
                  <w:rFonts w:cstheme="minorHAnsi"/>
                  <w:sz w:val="20"/>
                </w:rPr>
                <w:t>http://emedicine.medscape.com/article/930708-overview#a1</w:t>
              </w:r>
            </w:hyperlink>
          </w:p>
          <w:p w14:paraId="2B073D34" w14:textId="77777777" w:rsidR="00194EDA" w:rsidRPr="00F039F2" w:rsidRDefault="00194EDA" w:rsidP="00AB1539">
            <w:pPr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</w:pPr>
            <w:r w:rsidRPr="00F039F2"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  <w:t xml:space="preserve">Crawford, E. (2015). NP-Family Specialty Review and Study Guide: A Series from </w:t>
            </w:r>
            <w:proofErr w:type="spellStart"/>
            <w:r w:rsidRPr="00F039F2"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  <w:t>StatPearls</w:t>
            </w:r>
            <w:proofErr w:type="spellEnd"/>
            <w:r w:rsidRPr="00F039F2"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  <w:t>. Retrieved from https://books.google.com/books?id=86ybCgAAQBAJ&amp;dq=intussusception+np+questions&amp;source=gbs_navlinks_s</w:t>
            </w:r>
          </w:p>
          <w:p w14:paraId="4FC3AC46" w14:textId="77777777" w:rsidR="00194EDA" w:rsidRPr="00F039F2" w:rsidRDefault="00194EDA" w:rsidP="00AB1539">
            <w:pPr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</w:pPr>
            <w:proofErr w:type="spellStart"/>
            <w:r w:rsidRPr="00F039F2"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  <w:t>Epocraties</w:t>
            </w:r>
            <w:proofErr w:type="spellEnd"/>
            <w:r w:rsidRPr="00F039F2"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  <w:t xml:space="preserve">. (2017). Intussusception Differential Diagnosis - </w:t>
            </w:r>
            <w:proofErr w:type="spellStart"/>
            <w:r w:rsidRPr="00F039F2"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  <w:t>Epocrates</w:t>
            </w:r>
            <w:proofErr w:type="spellEnd"/>
            <w:r w:rsidRPr="00F039F2">
              <w:rPr>
                <w:rFonts w:eastAsia="Times New Roman" w:cstheme="minorHAnsi"/>
                <w:color w:val="000000"/>
                <w:sz w:val="20"/>
                <w:shd w:val="clear" w:color="auto" w:fill="FFFFFF"/>
              </w:rPr>
              <w:t xml:space="preserve"> Online. Retrieved from </w:t>
            </w:r>
            <w:hyperlink r:id="rId6" w:history="1">
              <w:r w:rsidRPr="00F039F2">
                <w:rPr>
                  <w:rStyle w:val="Hyperlink"/>
                  <w:rFonts w:eastAsia="Times New Roman" w:cstheme="minorHAnsi"/>
                  <w:sz w:val="20"/>
                  <w:shd w:val="clear" w:color="auto" w:fill="FFFFFF"/>
                </w:rPr>
                <w:t>https://online.epocrates.com/diseases/67935/Intussusception/Differential-Diagnosis</w:t>
              </w:r>
            </w:hyperlink>
          </w:p>
          <w:p w14:paraId="20B4DA5A" w14:textId="77777777" w:rsidR="00194EDA" w:rsidRPr="00F039F2" w:rsidRDefault="00194EDA" w:rsidP="00AB1539">
            <w:pPr>
              <w:rPr>
                <w:rFonts w:eastAsia="Times New Roman" w:cstheme="minorHAnsi"/>
                <w:sz w:val="20"/>
              </w:rPr>
            </w:pPr>
            <w:r w:rsidRPr="00F039F2">
              <w:rPr>
                <w:rFonts w:cstheme="minorHAnsi"/>
                <w:color w:val="000000"/>
                <w:sz w:val="20"/>
                <w:shd w:val="clear" w:color="auto" w:fill="FFFFFF"/>
              </w:rPr>
              <w:t xml:space="preserve">Shah, V., &amp; </w:t>
            </w:r>
            <w:proofErr w:type="spellStart"/>
            <w:r w:rsidRPr="00F039F2">
              <w:rPr>
                <w:rFonts w:cstheme="minorHAnsi"/>
                <w:color w:val="000000"/>
                <w:sz w:val="20"/>
                <w:shd w:val="clear" w:color="auto" w:fill="FFFFFF"/>
              </w:rPr>
              <w:t>Amini</w:t>
            </w:r>
            <w:proofErr w:type="spellEnd"/>
            <w:r w:rsidRPr="00F039F2">
              <w:rPr>
                <w:rFonts w:cstheme="minorHAnsi"/>
                <w:color w:val="000000"/>
                <w:sz w:val="20"/>
                <w:shd w:val="clear" w:color="auto" w:fill="FFFFFF"/>
              </w:rPr>
              <w:t>, B. (2017). Intussusception | Radiology Reference Article | Radiopaedia.org. Retrieved from https://radiopaedia.org/articles/intussusception</w:t>
            </w:r>
          </w:p>
          <w:p w14:paraId="324005C8" w14:textId="77777777" w:rsidR="00194EDA" w:rsidRPr="00F039F2" w:rsidRDefault="00194EDA" w:rsidP="00AB1539">
            <w:pPr>
              <w:rPr>
                <w:rFonts w:cstheme="minorHAnsi"/>
                <w:sz w:val="20"/>
              </w:rPr>
            </w:pPr>
          </w:p>
        </w:tc>
      </w:tr>
    </w:tbl>
    <w:p w14:paraId="1A4BB496" w14:textId="676138FF" w:rsidR="00F048C3" w:rsidRPr="00F039F2" w:rsidRDefault="00F048C3">
      <w:pPr>
        <w:rPr>
          <w:rFonts w:cstheme="minorHAnsi"/>
          <w:sz w:val="20"/>
        </w:rPr>
      </w:pPr>
    </w:p>
    <w:sectPr w:rsidR="00F048C3" w:rsidRPr="00F039F2" w:rsidSect="00194E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5408C9"/>
    <w:multiLevelType w:val="hybridMultilevel"/>
    <w:tmpl w:val="997CCF28"/>
    <w:lvl w:ilvl="0" w:tplc="E45AF29A">
      <w:start w:val="1"/>
      <w:numFmt w:val="lowerLetter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51516"/>
    <w:multiLevelType w:val="hybridMultilevel"/>
    <w:tmpl w:val="3B547D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09F0AA3"/>
    <w:multiLevelType w:val="hybridMultilevel"/>
    <w:tmpl w:val="53A2FDB0"/>
    <w:lvl w:ilvl="0" w:tplc="77FA1808">
      <w:start w:val="1"/>
      <w:numFmt w:val="lowerLetter"/>
      <w:lvlText w:val="%1."/>
      <w:lvlJc w:val="left"/>
      <w:pPr>
        <w:ind w:left="504" w:hanging="14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912CC0"/>
    <w:multiLevelType w:val="hybridMultilevel"/>
    <w:tmpl w:val="173E1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704F39"/>
    <w:multiLevelType w:val="hybridMultilevel"/>
    <w:tmpl w:val="0D4C72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AB03F17"/>
    <w:multiLevelType w:val="hybridMultilevel"/>
    <w:tmpl w:val="1D187C9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6C4D0FA1"/>
    <w:multiLevelType w:val="hybridMultilevel"/>
    <w:tmpl w:val="833E835E"/>
    <w:lvl w:ilvl="0" w:tplc="E45AF29A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3"/>
  </w:num>
  <w:num w:numId="4">
    <w:abstractNumId w:val="0"/>
  </w:num>
  <w:num w:numId="5">
    <w:abstractNumId w:val="2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3017"/>
    <w:rsid w:val="000B1ABE"/>
    <w:rsid w:val="000F7995"/>
    <w:rsid w:val="00194EDA"/>
    <w:rsid w:val="001F1AF9"/>
    <w:rsid w:val="002774FB"/>
    <w:rsid w:val="0036560F"/>
    <w:rsid w:val="00436227"/>
    <w:rsid w:val="007400F6"/>
    <w:rsid w:val="00870FC1"/>
    <w:rsid w:val="0095462D"/>
    <w:rsid w:val="00B03017"/>
    <w:rsid w:val="00CD5FC2"/>
    <w:rsid w:val="00F039F2"/>
    <w:rsid w:val="00F048C3"/>
    <w:rsid w:val="00F67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35B1F6"/>
  <w15:chartTrackingRefBased/>
  <w15:docId w15:val="{E6CEC860-4C40-4FE1-A937-DB3C0522F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B03017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03017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B03017"/>
    <w:pPr>
      <w:spacing w:before="100" w:beforeAutospacing="1" w:after="100" w:afterAutospacing="1"/>
    </w:pPr>
    <w:rPr>
      <w:rFonts w:ascii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B03017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43622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nline.epocrates.com/diseases/67935/Intussusception/Differential-Diagnosis" TargetMode="External"/><Relationship Id="rId5" Type="http://schemas.openxmlformats.org/officeDocument/2006/relationships/hyperlink" Target="http://emedicine.medscape.com/article/930708-overview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526</Words>
  <Characters>3002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Instructor</dc:creator>
  <cp:keywords/>
  <dc:description/>
  <cp:lastModifiedBy>Lamy, Wilson</cp:lastModifiedBy>
  <cp:revision>7</cp:revision>
  <dcterms:created xsi:type="dcterms:W3CDTF">2017-11-06T17:22:00Z</dcterms:created>
  <dcterms:modified xsi:type="dcterms:W3CDTF">2020-09-21T15:50:00Z</dcterms:modified>
</cp:coreProperties>
</file>